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8" w:rsidRPr="00DB26AD" w:rsidRDefault="00476683" w:rsidP="002271D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 xml:space="preserve">PROTOCOL OF THE OFFICIAL MEETING </w:t>
      </w:r>
      <w:r w:rsidR="00DB26AD">
        <w:rPr>
          <w:rFonts w:ascii="Times New Roman" w:hAnsi="Times New Roman" w:cs="Times New Roman"/>
          <w:sz w:val="26"/>
          <w:szCs w:val="26"/>
        </w:rPr>
        <w:t xml:space="preserve">OF THE PERMANENT CONFERENCE </w:t>
      </w:r>
      <w:r w:rsidR="00DB26AD" w:rsidRPr="00DB26AD">
        <w:rPr>
          <w:rFonts w:ascii="Times New Roman" w:hAnsi="Times New Roman" w:cs="Times New Roman"/>
          <w:sz w:val="26"/>
          <w:szCs w:val="26"/>
        </w:rPr>
        <w:t>ON</w:t>
      </w:r>
      <w:r w:rsidRPr="00DB26AD">
        <w:rPr>
          <w:rFonts w:ascii="Times New Roman" w:hAnsi="Times New Roman" w:cs="Times New Roman"/>
          <w:sz w:val="26"/>
          <w:szCs w:val="26"/>
        </w:rPr>
        <w:t xml:space="preserve"> POLITICAL </w:t>
      </w:r>
      <w:r w:rsidR="00DB26AD" w:rsidRPr="00DB26AD">
        <w:rPr>
          <w:rFonts w:ascii="Times New Roman" w:hAnsi="Times New Roman" w:cs="Times New Roman"/>
          <w:sz w:val="26"/>
          <w:szCs w:val="26"/>
        </w:rPr>
        <w:t>ISSUES</w:t>
      </w:r>
      <w:r w:rsidRPr="00DB26AD">
        <w:rPr>
          <w:rFonts w:ascii="Times New Roman" w:hAnsi="Times New Roman" w:cs="Times New Roman"/>
          <w:sz w:val="26"/>
          <w:szCs w:val="26"/>
        </w:rPr>
        <w:t xml:space="preserve"> IN THE FRAMEWORK OF THE </w:t>
      </w:r>
      <w:r w:rsidR="00DB26AD" w:rsidRPr="00DB26AD">
        <w:rPr>
          <w:rFonts w:ascii="Times New Roman" w:hAnsi="Times New Roman" w:cs="Times New Roman"/>
          <w:sz w:val="26"/>
          <w:szCs w:val="26"/>
        </w:rPr>
        <w:t>PRIDNESTROVIAN</w:t>
      </w:r>
      <w:r w:rsidRPr="00DB26AD">
        <w:rPr>
          <w:rFonts w:ascii="Times New Roman" w:hAnsi="Times New Roman" w:cs="Times New Roman"/>
          <w:sz w:val="26"/>
          <w:szCs w:val="26"/>
        </w:rPr>
        <w:t xml:space="preserve"> SETTLEMENT</w:t>
      </w:r>
      <w:r w:rsidR="00DB26AD" w:rsidRPr="00DB26AD">
        <w:rPr>
          <w:rFonts w:ascii="Times New Roman" w:hAnsi="Times New Roman" w:cs="Times New Roman"/>
          <w:sz w:val="26"/>
          <w:szCs w:val="26"/>
        </w:rPr>
        <w:t xml:space="preserve"> </w:t>
      </w:r>
      <w:r w:rsidR="00DB26AD" w:rsidRPr="00DB26AD">
        <w:rPr>
          <w:rFonts w:ascii="Times New Roman" w:hAnsi="Times New Roman" w:cs="Times New Roman"/>
          <w:sz w:val="26"/>
          <w:szCs w:val="26"/>
        </w:rPr>
        <w:t>NEGOTIATI</w:t>
      </w:r>
      <w:r w:rsidR="00DB26AD" w:rsidRPr="00DB26AD">
        <w:rPr>
          <w:rFonts w:ascii="Times New Roman" w:hAnsi="Times New Roman" w:cs="Times New Roman"/>
          <w:sz w:val="26"/>
          <w:szCs w:val="26"/>
        </w:rPr>
        <w:t xml:space="preserve">ON </w:t>
      </w:r>
      <w:r w:rsidR="00DB26AD" w:rsidRPr="00DB26AD">
        <w:rPr>
          <w:rFonts w:ascii="Times New Roman" w:hAnsi="Times New Roman" w:cs="Times New Roman"/>
          <w:sz w:val="26"/>
          <w:szCs w:val="26"/>
        </w:rPr>
        <w:t>PROCESS</w:t>
      </w: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D7B88" w:rsidRDefault="00476683" w:rsidP="002271D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2-3 June 2016, Berlin</w:t>
      </w:r>
    </w:p>
    <w:p w:rsidR="002271DE" w:rsidRPr="00DB26AD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B26AD" w:rsidRPr="00DB26AD" w:rsidRDefault="00476683" w:rsidP="002271DE">
      <w:pPr>
        <w:pStyle w:val="30"/>
        <w:shd w:val="clear" w:color="auto" w:fill="auto"/>
        <w:spacing w:after="100"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26AD">
        <w:rPr>
          <w:rFonts w:ascii="Times New Roman" w:hAnsi="Times New Roman" w:cs="Times New Roman"/>
          <w:b w:val="0"/>
          <w:sz w:val="26"/>
          <w:szCs w:val="26"/>
        </w:rPr>
        <w:t>On 2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-3 June 2016, a meeting of the </w:t>
      </w:r>
      <w:r w:rsidR="00DB26AD">
        <w:rPr>
          <w:rFonts w:ascii="Times New Roman" w:hAnsi="Times New Roman" w:cs="Times New Roman"/>
          <w:b w:val="0"/>
          <w:sz w:val="26"/>
          <w:szCs w:val="26"/>
        </w:rPr>
        <w:t xml:space="preserve">Permanent Conference 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>o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n Political Issues 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>i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n 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>t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he Framework 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of the 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>Pridnestrovian Settlement Negotiation Process</w:t>
      </w:r>
      <w:r w:rsidRPr="00DB26AD">
        <w:rPr>
          <w:rFonts w:ascii="Times New Roman" w:hAnsi="Times New Roman" w:cs="Times New Roman"/>
          <w:b w:val="0"/>
          <w:sz w:val="26"/>
          <w:szCs w:val="26"/>
        </w:rPr>
        <w:t xml:space="preserve"> took place in Berlin.</w:t>
      </w:r>
      <w:r w:rsidR="00DB26AD" w:rsidRPr="00DB26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D7B88" w:rsidRPr="00DB26AD" w:rsidRDefault="00476683" w:rsidP="002271DE">
      <w:pPr>
        <w:pStyle w:val="20"/>
        <w:shd w:val="clear" w:color="auto" w:fill="auto"/>
        <w:spacing w:before="0" w:after="10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Following the visit of mediators and observers on 5-6 April 2016, which provided an impetus to the negotiation process on a number of outstandin</w:t>
      </w:r>
      <w:r w:rsidRPr="00DB26AD">
        <w:rPr>
          <w:rFonts w:ascii="Times New Roman" w:hAnsi="Times New Roman" w:cs="Times New Roman"/>
          <w:sz w:val="26"/>
          <w:szCs w:val="26"/>
        </w:rPr>
        <w:t>g issues, the participants in the 5+2 round of talks discussed the current state of these issues and agreed concrete ways forward.</w:t>
      </w:r>
    </w:p>
    <w:p w:rsidR="003D7B88" w:rsidRPr="00DB26AD" w:rsidRDefault="00476683" w:rsidP="002271DE">
      <w:pPr>
        <w:pStyle w:val="20"/>
        <w:shd w:val="clear" w:color="auto" w:fill="auto"/>
        <w:spacing w:before="0" w:after="10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 xml:space="preserve">The sides reconfirmed their commitment to continue regular meetings at the level of expert (working) groups and of Political </w:t>
      </w:r>
      <w:r w:rsidRPr="00DB26AD">
        <w:rPr>
          <w:rFonts w:ascii="Times New Roman" w:hAnsi="Times New Roman" w:cs="Times New Roman"/>
          <w:sz w:val="26"/>
          <w:szCs w:val="26"/>
        </w:rPr>
        <w:t>Representatives before the Bavaria Conference in July, in order to achieve the following specific agreements: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 xml:space="preserve">On the issue of apostilisation of diplomas issued in </w:t>
      </w:r>
      <w:r w:rsidR="00DB26AD">
        <w:rPr>
          <w:rFonts w:ascii="Times New Roman" w:hAnsi="Times New Roman" w:cs="Times New Roman"/>
          <w:sz w:val="26"/>
          <w:szCs w:val="26"/>
        </w:rPr>
        <w:t>Pridnestrovie</w:t>
      </w:r>
      <w:r w:rsidRPr="00DB26AD">
        <w:rPr>
          <w:rFonts w:ascii="Times New Roman" w:hAnsi="Times New Roman" w:cs="Times New Roman"/>
          <w:sz w:val="26"/>
          <w:szCs w:val="26"/>
        </w:rPr>
        <w:t>, the sides agreed to further work on the basis of European experts’ recommenda</w:t>
      </w:r>
      <w:r w:rsidRPr="00DB26AD">
        <w:rPr>
          <w:rFonts w:ascii="Times New Roman" w:hAnsi="Times New Roman" w:cs="Times New Roman"/>
          <w:sz w:val="26"/>
          <w:szCs w:val="26"/>
        </w:rPr>
        <w:t>tions from 2014.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 xml:space="preserve">On the issue of the use of vehicles with number plates issued in </w:t>
      </w:r>
      <w:r w:rsidR="00DB26AD">
        <w:rPr>
          <w:rFonts w:ascii="Times New Roman" w:hAnsi="Times New Roman" w:cs="Times New Roman"/>
          <w:sz w:val="26"/>
          <w:szCs w:val="26"/>
        </w:rPr>
        <w:t>Pridnestrovie</w:t>
      </w:r>
      <w:r w:rsidRPr="00DB26AD">
        <w:rPr>
          <w:rFonts w:ascii="Times New Roman" w:hAnsi="Times New Roman" w:cs="Times New Roman"/>
          <w:sz w:val="26"/>
          <w:szCs w:val="26"/>
        </w:rPr>
        <w:t xml:space="preserve"> in the international road traffic, the sides agreed to further work on the basis of the EUBAM Technical Opinion Paper from 2015.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On the issue of telecommunicat</w:t>
      </w:r>
      <w:r w:rsidRPr="00DB26AD">
        <w:rPr>
          <w:rFonts w:ascii="Times New Roman" w:hAnsi="Times New Roman" w:cs="Times New Roman"/>
          <w:sz w:val="26"/>
          <w:szCs w:val="26"/>
        </w:rPr>
        <w:t>ions and connection, the sides agreed to continue the work and to prepare a corresponding solution.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On the issue of ecology, pursuant to the Protocol Decision signed within the framework of the Bavaria Conference in October 2015, before 15 June 2016 the si</w:t>
      </w:r>
      <w:r w:rsidRPr="00DB26AD">
        <w:rPr>
          <w:rFonts w:ascii="Times New Roman" w:hAnsi="Times New Roman" w:cs="Times New Roman"/>
          <w:sz w:val="26"/>
          <w:szCs w:val="26"/>
        </w:rPr>
        <w:t xml:space="preserve">des will prepare and sign protocols regarding cooperation in the area of meteorology and protection of natural resources in the </w:t>
      </w:r>
      <w:r w:rsidRPr="00DB26AD">
        <w:rPr>
          <w:rFonts w:ascii="Times New Roman" w:hAnsi="Times New Roman" w:cs="Times New Roman"/>
          <w:sz w:val="26"/>
          <w:szCs w:val="26"/>
        </w:rPr>
        <w:t>Dniester River basin.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On the issue of criminal cases, the sides expressed readiness to achieve tangible progress and comm</w:t>
      </w:r>
      <w:r w:rsidRPr="00DB26AD">
        <w:rPr>
          <w:rFonts w:ascii="Times New Roman" w:hAnsi="Times New Roman" w:cs="Times New Roman"/>
          <w:sz w:val="26"/>
          <w:szCs w:val="26"/>
        </w:rPr>
        <w:t>itted to further conduct regular and substantive meetings, including on the issues of law enforcement. Exchange of updated lists of existing criminal cases will be an important confidence-building step towards developing a final compromise solution to this</w:t>
      </w:r>
      <w:r w:rsidRPr="00DB26AD">
        <w:rPr>
          <w:rFonts w:ascii="Times New Roman" w:hAnsi="Times New Roman" w:cs="Times New Roman"/>
          <w:sz w:val="26"/>
          <w:szCs w:val="26"/>
        </w:rPr>
        <w:t xml:space="preserve"> issue, including the unimpeded travel of officials of the two sides.</w:t>
      </w:r>
    </w:p>
    <w:p w:rsidR="003D7B88" w:rsidRPr="00DB26AD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On the issue of guarantees of implementation of agreements concluded within the negotiation process, the sides reconfirmed their adherence to the 2012 document on Principles and Procedur</w:t>
      </w:r>
      <w:r w:rsidRPr="00DB26AD">
        <w:rPr>
          <w:rFonts w:ascii="Times New Roman" w:hAnsi="Times New Roman" w:cs="Times New Roman"/>
          <w:sz w:val="26"/>
          <w:szCs w:val="26"/>
        </w:rPr>
        <w:t xml:space="preserve">es of </w:t>
      </w:r>
      <w:r w:rsidR="002271DE" w:rsidRPr="00DB26AD">
        <w:rPr>
          <w:rFonts w:ascii="Times New Roman" w:hAnsi="Times New Roman" w:cs="Times New Roman"/>
          <w:sz w:val="26"/>
          <w:szCs w:val="26"/>
        </w:rPr>
        <w:t>Conduct</w:t>
      </w:r>
      <w:r w:rsidRPr="00DB26AD">
        <w:rPr>
          <w:rFonts w:ascii="Times New Roman" w:hAnsi="Times New Roman" w:cs="Times New Roman"/>
          <w:sz w:val="26"/>
          <w:szCs w:val="26"/>
        </w:rPr>
        <w:t xml:space="preserve"> of </w:t>
      </w:r>
      <w:r w:rsidR="002271DE" w:rsidRPr="00DB26AD">
        <w:rPr>
          <w:rFonts w:ascii="Times New Roman" w:hAnsi="Times New Roman" w:cs="Times New Roman"/>
          <w:sz w:val="26"/>
          <w:szCs w:val="26"/>
        </w:rPr>
        <w:t>N</w:t>
      </w:r>
      <w:r w:rsidRPr="00DB26AD">
        <w:rPr>
          <w:rFonts w:ascii="Times New Roman" w:hAnsi="Times New Roman" w:cs="Times New Roman"/>
          <w:sz w:val="26"/>
          <w:szCs w:val="26"/>
        </w:rPr>
        <w:t>egotiations in the</w:t>
      </w:r>
      <w:r w:rsidR="002271DE">
        <w:rPr>
          <w:rFonts w:ascii="Times New Roman" w:hAnsi="Times New Roman" w:cs="Times New Roman"/>
          <w:sz w:val="26"/>
          <w:szCs w:val="26"/>
        </w:rPr>
        <w:t xml:space="preserve"> Framework of the Permanent Conference</w:t>
      </w:r>
      <w:r w:rsidRPr="00DB26AD">
        <w:rPr>
          <w:rFonts w:ascii="Times New Roman" w:hAnsi="Times New Roman" w:cs="Times New Roman"/>
          <w:sz w:val="26"/>
          <w:szCs w:val="26"/>
        </w:rPr>
        <w:t xml:space="preserve"> and expressed readiness to further work on improving the mechanism of implementation of the agreements reached.</w:t>
      </w:r>
    </w:p>
    <w:p w:rsidR="002271DE" w:rsidRPr="002271DE" w:rsidRDefault="00476683" w:rsidP="002271D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0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The sides reconfirm their earlier commitments to resolve all iss</w:t>
      </w:r>
      <w:r w:rsidRPr="00DB26AD">
        <w:rPr>
          <w:rFonts w:ascii="Times New Roman" w:hAnsi="Times New Roman" w:cs="Times New Roman"/>
          <w:sz w:val="26"/>
          <w:szCs w:val="26"/>
        </w:rPr>
        <w:t>ues exclusively at the negotiation table, with the assistance of and mediation by the OSCE, the Russian Federation and Ukraine.</w:t>
      </w:r>
    </w:p>
    <w:p w:rsid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rPr>
          <w:rFonts w:ascii="Times New Roman" w:hAnsi="Times New Roman" w:cs="Times New Roman"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  <w:sectPr w:rsidR="002271DE" w:rsidSect="002271DE">
          <w:pgSz w:w="11900" w:h="16840"/>
          <w:pgMar w:top="1135" w:right="1407" w:bottom="709" w:left="1412" w:header="0" w:footer="3" w:gutter="0"/>
          <w:cols w:space="720"/>
          <w:noEndnote/>
          <w:docGrid w:linePitch="360"/>
        </w:sectPr>
      </w:pPr>
    </w:p>
    <w:p w:rsidR="002271DE" w:rsidRP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271DE">
        <w:rPr>
          <w:rFonts w:ascii="Times New Roman" w:hAnsi="Times New Roman" w:cs="Times New Roman"/>
          <w:i/>
          <w:sz w:val="26"/>
          <w:szCs w:val="26"/>
        </w:rPr>
        <w:t>(signed)</w:t>
      </w:r>
    </w:p>
    <w:p w:rsid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Republic of Moldova </w:t>
      </w:r>
    </w:p>
    <w:p w:rsidR="002271DE" w:rsidRP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rPr>
          <w:rFonts w:ascii="Times New Roman" w:hAnsi="Times New Roman" w:cs="Times New Roman"/>
          <w:i/>
          <w:sz w:val="26"/>
          <w:szCs w:val="26"/>
        </w:rPr>
      </w:pPr>
      <w:r w:rsidRPr="002271DE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</w:t>
      </w:r>
      <w:r w:rsidRPr="002271DE">
        <w:rPr>
          <w:rFonts w:ascii="Times New Roman" w:hAnsi="Times New Roman" w:cs="Times New Roman"/>
          <w:i/>
          <w:sz w:val="26"/>
          <w:szCs w:val="26"/>
        </w:rPr>
        <w:t>(signed)</w:t>
      </w:r>
    </w:p>
    <w:p w:rsid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rPr>
          <w:rFonts w:ascii="Times New Roman" w:hAnsi="Times New Roman" w:cs="Times New Roman"/>
          <w:sz w:val="26"/>
          <w:szCs w:val="26"/>
        </w:rPr>
        <w:sectPr w:rsidR="002271DE" w:rsidSect="002271DE">
          <w:type w:val="continuous"/>
          <w:pgSz w:w="11900" w:h="16840"/>
          <w:pgMar w:top="1450" w:right="1407" w:bottom="1580" w:left="1412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Pridnestrovie</w:t>
      </w:r>
    </w:p>
    <w:p w:rsidR="002271DE" w:rsidRP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271DE" w:rsidRPr="002271DE" w:rsidRDefault="002271DE" w:rsidP="002271DE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760" w:firstLine="0"/>
        <w:rPr>
          <w:rFonts w:ascii="Times New Roman" w:hAnsi="Times New Roman" w:cs="Times New Roman"/>
          <w:i/>
          <w:sz w:val="26"/>
          <w:szCs w:val="26"/>
        </w:rPr>
      </w:pPr>
      <w:r w:rsidRPr="002271DE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2271DE">
        <w:rPr>
          <w:rFonts w:ascii="Times New Roman" w:hAnsi="Times New Roman" w:cs="Times New Roman"/>
          <w:i/>
          <w:sz w:val="26"/>
          <w:szCs w:val="26"/>
        </w:rPr>
        <w:t xml:space="preserve">(signed)                                           (signed) </w:t>
      </w:r>
      <w:r w:rsidRPr="002271DE"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Pr="002271DE">
        <w:rPr>
          <w:rFonts w:ascii="Times New Roman" w:hAnsi="Times New Roman" w:cs="Times New Roman"/>
          <w:i/>
          <w:sz w:val="26"/>
          <w:szCs w:val="26"/>
        </w:rPr>
        <w:t>(signed)</w:t>
      </w:r>
    </w:p>
    <w:p w:rsidR="003D7B88" w:rsidRDefault="002271DE" w:rsidP="002271DE">
      <w:pPr>
        <w:pStyle w:val="20"/>
        <w:shd w:val="clear" w:color="auto" w:fill="auto"/>
        <w:tabs>
          <w:tab w:val="left" w:pos="4350"/>
          <w:tab w:val="left" w:pos="651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76683" w:rsidRPr="00DB26AD">
        <w:rPr>
          <w:rFonts w:ascii="Times New Roman" w:hAnsi="Times New Roman" w:cs="Times New Roman"/>
          <w:sz w:val="26"/>
          <w:szCs w:val="26"/>
        </w:rPr>
        <w:t>Russian Federation</w:t>
      </w:r>
      <w:r w:rsidR="00476683" w:rsidRPr="00DB26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76683" w:rsidRPr="00DB26AD">
        <w:rPr>
          <w:rFonts w:ascii="Times New Roman" w:hAnsi="Times New Roman" w:cs="Times New Roman"/>
          <w:sz w:val="26"/>
          <w:szCs w:val="26"/>
        </w:rPr>
        <w:t>OSCE</w:t>
      </w:r>
      <w:r w:rsidR="00476683" w:rsidRPr="00DB26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6683" w:rsidRPr="00DB26AD">
        <w:rPr>
          <w:rFonts w:ascii="Times New Roman" w:hAnsi="Times New Roman" w:cs="Times New Roman"/>
          <w:sz w:val="26"/>
          <w:szCs w:val="26"/>
        </w:rPr>
        <w:t>Ukraine</w:t>
      </w:r>
    </w:p>
    <w:p w:rsidR="002271DE" w:rsidRPr="00DB26AD" w:rsidRDefault="002271DE" w:rsidP="002271DE">
      <w:pPr>
        <w:pStyle w:val="20"/>
        <w:shd w:val="clear" w:color="auto" w:fill="auto"/>
        <w:tabs>
          <w:tab w:val="left" w:pos="4350"/>
          <w:tab w:val="left" w:pos="651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  <w:sectPr w:rsidR="002271DE" w:rsidRPr="00DB26AD" w:rsidSect="002271DE">
          <w:type w:val="continuous"/>
          <w:pgSz w:w="11900" w:h="16840"/>
          <w:pgMar w:top="1450" w:right="1407" w:bottom="1580" w:left="1412" w:header="0" w:footer="3" w:gutter="0"/>
          <w:cols w:space="720"/>
          <w:noEndnote/>
          <w:docGrid w:linePitch="360"/>
        </w:sectPr>
      </w:pPr>
    </w:p>
    <w:p w:rsidR="003D7B88" w:rsidRDefault="00476683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lastRenderedPageBreak/>
        <w:t xml:space="preserve">June </w:t>
      </w:r>
      <w:r w:rsidR="002271DE">
        <w:rPr>
          <w:rFonts w:ascii="Times New Roman" w:hAnsi="Times New Roman" w:cs="Times New Roman"/>
          <w:sz w:val="26"/>
          <w:szCs w:val="26"/>
        </w:rPr>
        <w:t xml:space="preserve">3, </w:t>
      </w:r>
      <w:r w:rsidRPr="00DB26AD">
        <w:rPr>
          <w:rFonts w:ascii="Times New Roman" w:hAnsi="Times New Roman" w:cs="Times New Roman"/>
          <w:sz w:val="26"/>
          <w:szCs w:val="26"/>
        </w:rPr>
        <w:t>2016, Berlin</w:t>
      </w:r>
    </w:p>
    <w:p w:rsidR="002271DE" w:rsidRPr="00DB26AD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D7B88" w:rsidRDefault="00476683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B26AD">
        <w:rPr>
          <w:rFonts w:ascii="Times New Roman" w:hAnsi="Times New Roman" w:cs="Times New Roman"/>
          <w:sz w:val="26"/>
          <w:szCs w:val="26"/>
        </w:rPr>
        <w:t>Observers in the</w:t>
      </w:r>
      <w:r w:rsidR="002271DE">
        <w:rPr>
          <w:rFonts w:ascii="Times New Roman" w:hAnsi="Times New Roman" w:cs="Times New Roman"/>
          <w:sz w:val="26"/>
          <w:szCs w:val="26"/>
        </w:rPr>
        <w:t xml:space="preserve"> 5+2 format, </w:t>
      </w:r>
      <w:r w:rsidRPr="00DB26AD">
        <w:rPr>
          <w:rFonts w:ascii="Times New Roman" w:hAnsi="Times New Roman" w:cs="Times New Roman"/>
          <w:sz w:val="26"/>
          <w:szCs w:val="26"/>
        </w:rPr>
        <w:t>the Europe</w:t>
      </w:r>
      <w:r w:rsidR="002271DE">
        <w:rPr>
          <w:rFonts w:ascii="Times New Roman" w:hAnsi="Times New Roman" w:cs="Times New Roman"/>
          <w:sz w:val="26"/>
          <w:szCs w:val="26"/>
        </w:rPr>
        <w:t>an Union and the United States,</w:t>
      </w:r>
      <w:r w:rsidRPr="00DB26AD">
        <w:rPr>
          <w:rFonts w:ascii="Times New Roman" w:hAnsi="Times New Roman" w:cs="Times New Roman"/>
          <w:sz w:val="26"/>
          <w:szCs w:val="26"/>
        </w:rPr>
        <w:t xml:space="preserve"> support the Protocol of the 5+2 round which took place on </w:t>
      </w:r>
      <w:r w:rsidRPr="00DB26AD">
        <w:rPr>
          <w:rFonts w:ascii="Times New Roman" w:hAnsi="Times New Roman" w:cs="Times New Roman"/>
          <w:sz w:val="26"/>
          <w:szCs w:val="26"/>
        </w:rPr>
        <w:t xml:space="preserve">June </w:t>
      </w:r>
      <w:r w:rsidR="002271DE" w:rsidRPr="00DB26AD">
        <w:rPr>
          <w:rFonts w:ascii="Times New Roman" w:hAnsi="Times New Roman" w:cs="Times New Roman"/>
          <w:sz w:val="26"/>
          <w:szCs w:val="26"/>
        </w:rPr>
        <w:t>2-3</w:t>
      </w:r>
      <w:r w:rsidR="002271DE">
        <w:rPr>
          <w:rFonts w:ascii="Times New Roman" w:hAnsi="Times New Roman" w:cs="Times New Roman"/>
          <w:sz w:val="26"/>
          <w:szCs w:val="26"/>
        </w:rPr>
        <w:t>,</w:t>
      </w:r>
      <w:r w:rsidR="002271DE" w:rsidRPr="00DB26AD">
        <w:rPr>
          <w:rFonts w:ascii="Times New Roman" w:hAnsi="Times New Roman" w:cs="Times New Roman"/>
          <w:sz w:val="26"/>
          <w:szCs w:val="26"/>
        </w:rPr>
        <w:t xml:space="preserve"> </w:t>
      </w:r>
      <w:r w:rsidRPr="00DB26AD">
        <w:rPr>
          <w:rFonts w:ascii="Times New Roman" w:hAnsi="Times New Roman" w:cs="Times New Roman"/>
          <w:sz w:val="26"/>
          <w:szCs w:val="26"/>
        </w:rPr>
        <w:t>2016</w:t>
      </w:r>
      <w:r w:rsidR="002271DE">
        <w:rPr>
          <w:rFonts w:ascii="Times New Roman" w:hAnsi="Times New Roman" w:cs="Times New Roman"/>
          <w:sz w:val="26"/>
          <w:szCs w:val="26"/>
        </w:rPr>
        <w:t>,</w:t>
      </w:r>
      <w:r w:rsidRPr="00DB26AD">
        <w:rPr>
          <w:rFonts w:ascii="Times New Roman" w:hAnsi="Times New Roman" w:cs="Times New Roman"/>
          <w:sz w:val="26"/>
          <w:szCs w:val="26"/>
        </w:rPr>
        <w:t xml:space="preserve"> in Berlin.</w:t>
      </w: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271DE" w:rsidRPr="00DB26AD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  <w:sectPr w:rsidR="002271DE">
          <w:pgSz w:w="11900" w:h="16840"/>
          <w:pgMar w:top="1455" w:right="1613" w:bottom="1455" w:left="1412" w:header="0" w:footer="3" w:gutter="0"/>
          <w:cols w:space="720"/>
          <w:noEndnote/>
          <w:docGrid w:linePitch="360"/>
        </w:sectPr>
      </w:pPr>
    </w:p>
    <w:p w:rsidR="002271DE" w:rsidRPr="002271DE" w:rsidRDefault="00E717D9" w:rsidP="002271DE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The </w:t>
      </w:r>
      <w:r w:rsidR="002271DE" w:rsidRPr="002271DE">
        <w:rPr>
          <w:rFonts w:ascii="Times New Roman" w:hAnsi="Times New Roman" w:cs="Times New Roman"/>
          <w:sz w:val="26"/>
          <w:szCs w:val="26"/>
        </w:rPr>
        <w:t>European Union</w:t>
      </w: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2271DE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2271DE">
        <w:rPr>
          <w:rFonts w:ascii="Times New Roman" w:hAnsi="Times New Roman" w:cs="Times New Roman"/>
          <w:i/>
          <w:sz w:val="26"/>
          <w:szCs w:val="26"/>
        </w:rPr>
        <w:t>(signed)</w:t>
      </w: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2271DE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/>
          <w:sz w:val="26"/>
          <w:szCs w:val="26"/>
        </w:rPr>
      </w:pPr>
    </w:p>
    <w:p w:rsidR="003D7B88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17D9">
        <w:rPr>
          <w:rFonts w:ascii="Times New Roman" w:hAnsi="Times New Roman" w:cs="Times New Roman"/>
          <w:sz w:val="26"/>
          <w:szCs w:val="26"/>
        </w:rPr>
        <w:t>The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United States </w:t>
      </w:r>
    </w:p>
    <w:p w:rsidR="002271DE" w:rsidRPr="00DB26AD" w:rsidRDefault="002271DE" w:rsidP="002271DE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Pr="002271DE">
        <w:rPr>
          <w:rFonts w:ascii="Times New Roman" w:hAnsi="Times New Roman" w:cs="Times New Roman"/>
          <w:i/>
          <w:sz w:val="26"/>
          <w:szCs w:val="26"/>
        </w:rPr>
        <w:t>(signed)</w:t>
      </w:r>
    </w:p>
    <w:sectPr w:rsidR="002271DE" w:rsidRPr="00DB26AD" w:rsidSect="002271DE">
      <w:type w:val="continuous"/>
      <w:pgSz w:w="11900" w:h="16840"/>
      <w:pgMar w:top="1455" w:right="1613" w:bottom="1455" w:left="1412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83" w:rsidRDefault="00476683">
      <w:r>
        <w:separator/>
      </w:r>
    </w:p>
  </w:endnote>
  <w:endnote w:type="continuationSeparator" w:id="0">
    <w:p w:rsidR="00476683" w:rsidRDefault="004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83" w:rsidRDefault="00476683"/>
  </w:footnote>
  <w:footnote w:type="continuationSeparator" w:id="0">
    <w:p w:rsidR="00476683" w:rsidRDefault="00476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432F"/>
    <w:multiLevelType w:val="multilevel"/>
    <w:tmpl w:val="8E0E59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88"/>
    <w:rsid w:val="002271DE"/>
    <w:rsid w:val="003D7B88"/>
    <w:rsid w:val="00476683"/>
    <w:rsid w:val="00DB26AD"/>
    <w:rsid w:val="00E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A16F"/>
  <w15:docId w15:val="{4130D644-6142-4614-83D8-78CAB883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8" w:lineRule="exact"/>
      <w:ind w:hanging="360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Лозинская</dc:creator>
  <cp:lastModifiedBy>Валентина Лозинская</cp:lastModifiedBy>
  <cp:revision>1</cp:revision>
  <dcterms:created xsi:type="dcterms:W3CDTF">2022-05-16T10:04:00Z</dcterms:created>
  <dcterms:modified xsi:type="dcterms:W3CDTF">2022-05-16T10:27:00Z</dcterms:modified>
</cp:coreProperties>
</file>